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81C" w:rsidRPr="00AB281C" w:rsidRDefault="00AB281C" w:rsidP="00AB281C">
      <w:pPr>
        <w:spacing w:line="480" w:lineRule="auto"/>
        <w:ind w:firstLine="720"/>
        <w:jc w:val="both"/>
        <w:rPr>
          <w:rFonts w:ascii="Times New Roman" w:hAnsi="Times New Roman" w:cs="Times New Roman"/>
          <w:sz w:val="24"/>
          <w:szCs w:val="24"/>
        </w:rPr>
      </w:pPr>
    </w:p>
    <w:p w:rsidR="00AB281C" w:rsidRPr="00AB281C" w:rsidRDefault="00AB281C" w:rsidP="00AB281C">
      <w:pPr>
        <w:spacing w:line="480" w:lineRule="auto"/>
        <w:ind w:firstLine="720"/>
        <w:jc w:val="both"/>
        <w:rPr>
          <w:rFonts w:ascii="Times New Roman" w:hAnsi="Times New Roman" w:cs="Times New Roman"/>
          <w:sz w:val="24"/>
          <w:szCs w:val="24"/>
        </w:rPr>
      </w:pPr>
    </w:p>
    <w:p w:rsidR="00AB281C" w:rsidRPr="00AB281C" w:rsidRDefault="00AB281C" w:rsidP="00AB281C">
      <w:pPr>
        <w:spacing w:line="480" w:lineRule="auto"/>
        <w:ind w:firstLine="720"/>
        <w:jc w:val="both"/>
        <w:rPr>
          <w:rFonts w:ascii="Times New Roman" w:hAnsi="Times New Roman" w:cs="Times New Roman"/>
          <w:sz w:val="24"/>
          <w:szCs w:val="24"/>
        </w:rPr>
      </w:pPr>
    </w:p>
    <w:p w:rsidR="00AB281C" w:rsidRPr="00AB281C" w:rsidRDefault="00AB281C" w:rsidP="00AB281C">
      <w:pPr>
        <w:spacing w:line="480" w:lineRule="auto"/>
        <w:ind w:firstLine="720"/>
        <w:jc w:val="both"/>
        <w:rPr>
          <w:rFonts w:ascii="Times New Roman" w:hAnsi="Times New Roman" w:cs="Times New Roman"/>
          <w:sz w:val="24"/>
          <w:szCs w:val="24"/>
        </w:rPr>
      </w:pPr>
    </w:p>
    <w:p w:rsidR="00AB281C" w:rsidRPr="00AB281C" w:rsidRDefault="00AB281C" w:rsidP="00AB281C">
      <w:pPr>
        <w:spacing w:line="480" w:lineRule="auto"/>
        <w:ind w:firstLine="720"/>
        <w:jc w:val="both"/>
        <w:rPr>
          <w:rFonts w:ascii="Times New Roman" w:hAnsi="Times New Roman" w:cs="Times New Roman"/>
          <w:sz w:val="24"/>
          <w:szCs w:val="24"/>
        </w:rPr>
      </w:pPr>
    </w:p>
    <w:p w:rsidR="00AB281C" w:rsidRPr="00AB281C" w:rsidRDefault="00AB281C" w:rsidP="00AB281C">
      <w:pPr>
        <w:spacing w:line="480" w:lineRule="auto"/>
        <w:ind w:firstLine="720"/>
        <w:jc w:val="both"/>
        <w:rPr>
          <w:rFonts w:ascii="Times New Roman" w:hAnsi="Times New Roman" w:cs="Times New Roman"/>
          <w:sz w:val="24"/>
          <w:szCs w:val="24"/>
        </w:rPr>
      </w:pPr>
    </w:p>
    <w:p w:rsidR="00AB281C" w:rsidRPr="00AB281C" w:rsidRDefault="00AB281C" w:rsidP="00AB281C">
      <w:pPr>
        <w:spacing w:line="480" w:lineRule="auto"/>
        <w:ind w:firstLine="720"/>
        <w:jc w:val="both"/>
        <w:rPr>
          <w:rFonts w:ascii="Times New Roman" w:hAnsi="Times New Roman" w:cs="Times New Roman"/>
          <w:sz w:val="24"/>
          <w:szCs w:val="24"/>
        </w:rPr>
      </w:pPr>
    </w:p>
    <w:p w:rsidR="00AB281C" w:rsidRPr="00AB281C" w:rsidRDefault="00AB281C" w:rsidP="00AB281C">
      <w:pPr>
        <w:spacing w:line="480" w:lineRule="auto"/>
        <w:ind w:firstLine="720"/>
        <w:jc w:val="center"/>
        <w:rPr>
          <w:rFonts w:ascii="Times New Roman" w:hAnsi="Times New Roman" w:cs="Times New Roman"/>
          <w:sz w:val="24"/>
          <w:szCs w:val="24"/>
        </w:rPr>
      </w:pPr>
    </w:p>
    <w:p w:rsidR="00AB281C" w:rsidRPr="00AB281C" w:rsidRDefault="00A07A68" w:rsidP="00AB281C">
      <w:pPr>
        <w:spacing w:line="480" w:lineRule="auto"/>
        <w:ind w:firstLine="720"/>
        <w:jc w:val="center"/>
        <w:rPr>
          <w:rFonts w:ascii="Times New Roman" w:hAnsi="Times New Roman" w:cs="Times New Roman"/>
          <w:sz w:val="24"/>
          <w:szCs w:val="24"/>
        </w:rPr>
      </w:pPr>
      <w:r w:rsidRPr="00AB281C">
        <w:rPr>
          <w:rFonts w:ascii="Times New Roman" w:hAnsi="Times New Roman" w:cs="Times New Roman"/>
          <w:sz w:val="24"/>
          <w:szCs w:val="24"/>
        </w:rPr>
        <w:t>Name</w:t>
      </w:r>
    </w:p>
    <w:p w:rsidR="00AB281C" w:rsidRPr="00AB281C" w:rsidRDefault="00A07A68" w:rsidP="00AB281C">
      <w:pPr>
        <w:spacing w:line="480" w:lineRule="auto"/>
        <w:ind w:firstLine="720"/>
        <w:jc w:val="center"/>
        <w:rPr>
          <w:rFonts w:ascii="Times New Roman" w:hAnsi="Times New Roman" w:cs="Times New Roman"/>
          <w:sz w:val="24"/>
          <w:szCs w:val="24"/>
        </w:rPr>
      </w:pPr>
      <w:r w:rsidRPr="00AB281C">
        <w:rPr>
          <w:rFonts w:ascii="Times New Roman" w:hAnsi="Times New Roman" w:cs="Times New Roman"/>
          <w:sz w:val="24"/>
          <w:szCs w:val="24"/>
        </w:rPr>
        <w:t>Institution</w:t>
      </w:r>
    </w:p>
    <w:p w:rsidR="00AB281C" w:rsidRPr="00AB281C" w:rsidRDefault="00A07A68" w:rsidP="00AB281C">
      <w:pPr>
        <w:spacing w:line="480" w:lineRule="auto"/>
        <w:ind w:firstLine="720"/>
        <w:jc w:val="center"/>
        <w:rPr>
          <w:rFonts w:ascii="Times New Roman" w:hAnsi="Times New Roman" w:cs="Times New Roman"/>
          <w:sz w:val="24"/>
          <w:szCs w:val="24"/>
        </w:rPr>
      </w:pPr>
      <w:r w:rsidRPr="00AB281C">
        <w:rPr>
          <w:rFonts w:ascii="Times New Roman" w:hAnsi="Times New Roman" w:cs="Times New Roman"/>
          <w:sz w:val="24"/>
          <w:szCs w:val="24"/>
        </w:rPr>
        <w:t>Course</w:t>
      </w:r>
    </w:p>
    <w:p w:rsidR="00AB281C" w:rsidRPr="00AB281C" w:rsidRDefault="00A07A68" w:rsidP="00AB281C">
      <w:pPr>
        <w:spacing w:line="480" w:lineRule="auto"/>
        <w:ind w:firstLine="720"/>
        <w:jc w:val="center"/>
        <w:rPr>
          <w:rFonts w:ascii="Times New Roman" w:hAnsi="Times New Roman" w:cs="Times New Roman"/>
          <w:sz w:val="24"/>
          <w:szCs w:val="24"/>
        </w:rPr>
      </w:pPr>
      <w:r w:rsidRPr="00AB281C">
        <w:rPr>
          <w:rFonts w:ascii="Times New Roman" w:hAnsi="Times New Roman" w:cs="Times New Roman"/>
          <w:sz w:val="24"/>
          <w:szCs w:val="24"/>
        </w:rPr>
        <w:t>Date</w:t>
      </w:r>
    </w:p>
    <w:p w:rsidR="00AB281C" w:rsidRPr="00AB281C" w:rsidRDefault="00AB281C" w:rsidP="00AB281C">
      <w:pPr>
        <w:spacing w:line="480" w:lineRule="auto"/>
        <w:ind w:firstLine="720"/>
        <w:jc w:val="both"/>
        <w:rPr>
          <w:rFonts w:ascii="Times New Roman" w:hAnsi="Times New Roman" w:cs="Times New Roman"/>
          <w:sz w:val="24"/>
          <w:szCs w:val="24"/>
        </w:rPr>
      </w:pPr>
    </w:p>
    <w:p w:rsidR="00AB281C" w:rsidRPr="00AB281C" w:rsidRDefault="00AB281C" w:rsidP="00AB281C">
      <w:pPr>
        <w:spacing w:line="480" w:lineRule="auto"/>
        <w:ind w:firstLine="720"/>
        <w:jc w:val="both"/>
        <w:rPr>
          <w:rFonts w:ascii="Times New Roman" w:hAnsi="Times New Roman" w:cs="Times New Roman"/>
          <w:sz w:val="24"/>
          <w:szCs w:val="24"/>
        </w:rPr>
      </w:pPr>
    </w:p>
    <w:p w:rsidR="00AB281C" w:rsidRPr="00AB281C" w:rsidRDefault="00AB281C" w:rsidP="00AB281C">
      <w:pPr>
        <w:spacing w:line="480" w:lineRule="auto"/>
        <w:ind w:firstLine="720"/>
        <w:jc w:val="both"/>
        <w:rPr>
          <w:rFonts w:ascii="Times New Roman" w:hAnsi="Times New Roman" w:cs="Times New Roman"/>
          <w:sz w:val="24"/>
          <w:szCs w:val="24"/>
        </w:rPr>
      </w:pPr>
    </w:p>
    <w:p w:rsidR="00AB281C" w:rsidRPr="00AB281C" w:rsidRDefault="00AB281C" w:rsidP="00AB281C">
      <w:pPr>
        <w:spacing w:line="480" w:lineRule="auto"/>
        <w:ind w:firstLine="720"/>
        <w:jc w:val="both"/>
        <w:rPr>
          <w:rFonts w:ascii="Times New Roman" w:hAnsi="Times New Roman" w:cs="Times New Roman"/>
          <w:sz w:val="24"/>
          <w:szCs w:val="24"/>
        </w:rPr>
      </w:pPr>
    </w:p>
    <w:p w:rsidR="00AB281C" w:rsidRPr="00AB281C" w:rsidRDefault="00AB281C" w:rsidP="00AB281C">
      <w:pPr>
        <w:spacing w:line="480" w:lineRule="auto"/>
        <w:jc w:val="both"/>
        <w:rPr>
          <w:rFonts w:ascii="Times New Roman" w:hAnsi="Times New Roman" w:cs="Times New Roman"/>
          <w:sz w:val="24"/>
          <w:szCs w:val="24"/>
        </w:rPr>
      </w:pPr>
    </w:p>
    <w:p w:rsidR="00E94F96" w:rsidRPr="00AB281C" w:rsidRDefault="00A07A68" w:rsidP="00AB281C">
      <w:pPr>
        <w:spacing w:line="480" w:lineRule="auto"/>
        <w:ind w:firstLine="720"/>
        <w:jc w:val="both"/>
        <w:rPr>
          <w:rFonts w:ascii="Times New Roman" w:hAnsi="Times New Roman" w:cs="Times New Roman"/>
          <w:sz w:val="24"/>
          <w:szCs w:val="24"/>
        </w:rPr>
      </w:pPr>
      <w:r w:rsidRPr="00AB281C">
        <w:rPr>
          <w:rFonts w:ascii="Times New Roman" w:hAnsi="Times New Roman" w:cs="Times New Roman"/>
          <w:sz w:val="24"/>
          <w:szCs w:val="24"/>
        </w:rPr>
        <w:lastRenderedPageBreak/>
        <w:t xml:space="preserve">According to figures 10.6 and 10.7, Capital Asset Pricing Model predicts that the premium risk should be increasing in proportion to securities finance. This can be justified by the fact that </w:t>
      </w:r>
      <w:r w:rsidR="00915C95" w:rsidRPr="00AB281C">
        <w:rPr>
          <w:rFonts w:ascii="Times New Roman" w:hAnsi="Times New Roman" w:cs="Times New Roman"/>
          <w:sz w:val="24"/>
          <w:szCs w:val="24"/>
        </w:rPr>
        <w:t xml:space="preserve">in figures 10.6 and 10.7, </w:t>
      </w:r>
      <w:r w:rsidRPr="00AB281C">
        <w:rPr>
          <w:rFonts w:ascii="Times New Roman" w:hAnsi="Times New Roman" w:cs="Times New Roman"/>
          <w:sz w:val="24"/>
          <w:szCs w:val="24"/>
        </w:rPr>
        <w:t xml:space="preserve">the market's premium risk is equivalent to the gradient and the incline </w:t>
      </w:r>
      <w:r w:rsidR="00915C95" w:rsidRPr="00AB281C">
        <w:rPr>
          <w:rFonts w:ascii="Times New Roman" w:hAnsi="Times New Roman" w:cs="Times New Roman"/>
          <w:sz w:val="24"/>
          <w:szCs w:val="24"/>
        </w:rPr>
        <w:t>of t</w:t>
      </w:r>
      <w:r w:rsidR="009B4353" w:rsidRPr="00AB281C">
        <w:rPr>
          <w:rFonts w:ascii="Times New Roman" w:hAnsi="Times New Roman" w:cs="Times New Roman"/>
          <w:sz w:val="24"/>
          <w:szCs w:val="24"/>
        </w:rPr>
        <w:t xml:space="preserve">he market line of the security, and the representation of graphs concerning the capital asset pricing model. According to the two figures, it is evidenced that there is a possibility </w:t>
      </w:r>
      <w:r w:rsidR="00C95D54" w:rsidRPr="00AB281C">
        <w:rPr>
          <w:rFonts w:ascii="Times New Roman" w:hAnsi="Times New Roman" w:cs="Times New Roman"/>
          <w:sz w:val="24"/>
          <w:szCs w:val="24"/>
        </w:rPr>
        <w:t>that dividends that are expected are to be discounted, as</w:t>
      </w:r>
      <w:r w:rsidR="009B4353" w:rsidRPr="00AB281C">
        <w:rPr>
          <w:rFonts w:ascii="Times New Roman" w:hAnsi="Times New Roman" w:cs="Times New Roman"/>
          <w:sz w:val="24"/>
          <w:szCs w:val="24"/>
        </w:rPr>
        <w:t xml:space="preserve"> well as the appreciation of the capital of the stock in a</w:t>
      </w:r>
      <w:r w:rsidR="00082F08" w:rsidRPr="00AB281C">
        <w:rPr>
          <w:rFonts w:ascii="Times New Roman" w:hAnsi="Times New Roman" w:cs="Times New Roman"/>
          <w:sz w:val="24"/>
          <w:szCs w:val="24"/>
        </w:rPr>
        <w:t xml:space="preserve"> scheduled period</w:t>
      </w:r>
      <w:r w:rsidR="00082F08" w:rsidRPr="00AB281C">
        <w:rPr>
          <w:rFonts w:ascii="Times New Roman" w:hAnsi="Times New Roman" w:cs="Times New Roman"/>
          <w:sz w:val="24"/>
          <w:szCs w:val="24"/>
          <w:shd w:val="clear" w:color="auto" w:fill="FFFFFF"/>
        </w:rPr>
        <w:t xml:space="preserve"> (Fernandez, 2015).</w:t>
      </w:r>
    </w:p>
    <w:p w:rsidR="00C95D54" w:rsidRPr="00AB281C" w:rsidRDefault="00A07A68" w:rsidP="00AB281C">
      <w:pPr>
        <w:spacing w:line="480" w:lineRule="auto"/>
        <w:ind w:firstLine="720"/>
        <w:jc w:val="both"/>
        <w:rPr>
          <w:rFonts w:ascii="Times New Roman" w:hAnsi="Times New Roman" w:cs="Times New Roman"/>
          <w:sz w:val="24"/>
          <w:szCs w:val="24"/>
        </w:rPr>
      </w:pPr>
      <w:r w:rsidRPr="00AB281C">
        <w:rPr>
          <w:rFonts w:ascii="Times New Roman" w:hAnsi="Times New Roman" w:cs="Times New Roman"/>
          <w:sz w:val="24"/>
          <w:szCs w:val="24"/>
        </w:rPr>
        <w:t xml:space="preserve">Moreover, </w:t>
      </w:r>
      <w:r w:rsidR="00DB547D" w:rsidRPr="00AB281C">
        <w:rPr>
          <w:rFonts w:ascii="Times New Roman" w:hAnsi="Times New Roman" w:cs="Times New Roman"/>
          <w:sz w:val="24"/>
          <w:szCs w:val="24"/>
        </w:rPr>
        <w:t xml:space="preserve">Capital Assessment Pricing Model is a practical way to price risk assets because it measures the risk of the available stock, referred to as returns volatility. However, the risk of assets and stock is replicated by measuring </w:t>
      </w:r>
      <w:r w:rsidR="000B0675" w:rsidRPr="00AB281C">
        <w:rPr>
          <w:rFonts w:ascii="Times New Roman" w:hAnsi="Times New Roman" w:cs="Times New Roman"/>
          <w:sz w:val="24"/>
          <w:szCs w:val="24"/>
        </w:rPr>
        <w:t>the oscillation of assets and stock change in prices, which in many cases, is expected to be relative to the overall mar</w:t>
      </w:r>
      <w:r w:rsidR="00AB281C" w:rsidRPr="00AB281C">
        <w:rPr>
          <w:rFonts w:ascii="Times New Roman" w:hAnsi="Times New Roman" w:cs="Times New Roman"/>
          <w:sz w:val="24"/>
          <w:szCs w:val="24"/>
        </w:rPr>
        <w:t>ket</w:t>
      </w:r>
      <w:r w:rsidR="000B0675" w:rsidRPr="00AB281C">
        <w:rPr>
          <w:rFonts w:ascii="Times New Roman" w:hAnsi="Times New Roman" w:cs="Times New Roman"/>
          <w:sz w:val="24"/>
          <w:szCs w:val="24"/>
        </w:rPr>
        <w:t xml:space="preserve"> </w:t>
      </w:r>
      <w:r w:rsidR="00AB281C" w:rsidRPr="00AB281C">
        <w:rPr>
          <w:rFonts w:ascii="Times New Roman" w:hAnsi="Times New Roman" w:cs="Times New Roman"/>
          <w:sz w:val="24"/>
          <w:szCs w:val="24"/>
        </w:rPr>
        <w:t>(</w:t>
      </w:r>
      <w:r w:rsidR="00AB281C" w:rsidRPr="00AB281C">
        <w:rPr>
          <w:rFonts w:ascii="Times New Roman" w:hAnsi="Times New Roman" w:cs="Times New Roman"/>
          <w:sz w:val="24"/>
          <w:szCs w:val="24"/>
          <w:shd w:val="clear" w:color="auto" w:fill="FFFFFF"/>
        </w:rPr>
        <w:t>Dempsey, 2013).</w:t>
      </w:r>
    </w:p>
    <w:p w:rsidR="00082F08" w:rsidRPr="00AB281C" w:rsidRDefault="00A07A68" w:rsidP="00AB281C">
      <w:pPr>
        <w:spacing w:line="480" w:lineRule="auto"/>
        <w:ind w:firstLine="720"/>
        <w:jc w:val="both"/>
        <w:rPr>
          <w:rFonts w:ascii="Times New Roman" w:hAnsi="Times New Roman" w:cs="Times New Roman"/>
          <w:sz w:val="24"/>
          <w:szCs w:val="24"/>
        </w:rPr>
      </w:pPr>
      <w:r w:rsidRPr="00AB281C">
        <w:rPr>
          <w:rFonts w:ascii="Times New Roman" w:hAnsi="Times New Roman" w:cs="Times New Roman"/>
          <w:sz w:val="24"/>
          <w:szCs w:val="24"/>
        </w:rPr>
        <w:t>Two components characterize the Weighted Average Cost of Capital (WACC</w:t>
      </w:r>
      <w:r w:rsidR="00C51346" w:rsidRPr="00AB281C">
        <w:rPr>
          <w:rFonts w:ascii="Times New Roman" w:hAnsi="Times New Roman" w:cs="Times New Roman"/>
          <w:sz w:val="24"/>
          <w:szCs w:val="24"/>
        </w:rPr>
        <w:t>)</w:t>
      </w:r>
      <w:r w:rsidRPr="00AB281C">
        <w:rPr>
          <w:rFonts w:ascii="Times New Roman" w:hAnsi="Times New Roman" w:cs="Times New Roman"/>
          <w:sz w:val="24"/>
          <w:szCs w:val="24"/>
        </w:rPr>
        <w:t xml:space="preserve">. The features include </w:t>
      </w:r>
      <w:r w:rsidR="00C51346" w:rsidRPr="00AB281C">
        <w:rPr>
          <w:rFonts w:ascii="Times New Roman" w:hAnsi="Times New Roman" w:cs="Times New Roman"/>
          <w:sz w:val="24"/>
          <w:szCs w:val="24"/>
        </w:rPr>
        <w:t>the cost of equity and the value of debt. However</w:t>
      </w:r>
      <w:r w:rsidR="006F1092" w:rsidRPr="00AB281C">
        <w:rPr>
          <w:rFonts w:ascii="Times New Roman" w:hAnsi="Times New Roman" w:cs="Times New Roman"/>
          <w:sz w:val="24"/>
          <w:szCs w:val="24"/>
        </w:rPr>
        <w:t>, it is advantageous to use WACC because it is simple, easy, a</w:t>
      </w:r>
      <w:r w:rsidR="00AB281C" w:rsidRPr="00AB281C">
        <w:rPr>
          <w:rFonts w:ascii="Times New Roman" w:hAnsi="Times New Roman" w:cs="Times New Roman"/>
          <w:sz w:val="24"/>
          <w:szCs w:val="24"/>
        </w:rPr>
        <w:t>nd enables good decision-making</w:t>
      </w:r>
      <w:r w:rsidR="006F1092" w:rsidRPr="00AB281C">
        <w:rPr>
          <w:rFonts w:ascii="Times New Roman" w:hAnsi="Times New Roman" w:cs="Times New Roman"/>
          <w:sz w:val="24"/>
          <w:szCs w:val="24"/>
        </w:rPr>
        <w:t xml:space="preserve"> </w:t>
      </w:r>
      <w:r w:rsidR="00AB281C" w:rsidRPr="00AB281C">
        <w:rPr>
          <w:rFonts w:ascii="Times New Roman" w:hAnsi="Times New Roman" w:cs="Times New Roman"/>
          <w:sz w:val="24"/>
          <w:szCs w:val="24"/>
        </w:rPr>
        <w:t>(</w:t>
      </w:r>
      <w:r w:rsidR="00AB281C" w:rsidRPr="00AB281C">
        <w:rPr>
          <w:rFonts w:ascii="Times New Roman" w:hAnsi="Times New Roman" w:cs="Times New Roman"/>
          <w:sz w:val="24"/>
          <w:szCs w:val="24"/>
          <w:shd w:val="clear" w:color="auto" w:fill="FFFFFF"/>
        </w:rPr>
        <w:t xml:space="preserve">Krüger </w:t>
      </w:r>
      <w:r w:rsidR="00AB281C" w:rsidRPr="00AB281C">
        <w:rPr>
          <w:rFonts w:ascii="Times New Roman" w:hAnsi="Times New Roman" w:cs="Times New Roman"/>
          <w:i/>
          <w:sz w:val="24"/>
          <w:szCs w:val="24"/>
          <w:shd w:val="clear" w:color="auto" w:fill="FFFFFF"/>
        </w:rPr>
        <w:t xml:space="preserve">et al., </w:t>
      </w:r>
      <w:r w:rsidR="00AB281C" w:rsidRPr="00AB281C">
        <w:rPr>
          <w:rFonts w:ascii="Times New Roman" w:hAnsi="Times New Roman" w:cs="Times New Roman"/>
          <w:sz w:val="24"/>
          <w:szCs w:val="24"/>
          <w:shd w:val="clear" w:color="auto" w:fill="FFFFFF"/>
        </w:rPr>
        <w:t xml:space="preserve">2015). </w:t>
      </w:r>
      <w:r w:rsidR="006F1092" w:rsidRPr="00AB281C">
        <w:rPr>
          <w:rFonts w:ascii="Times New Roman" w:hAnsi="Times New Roman" w:cs="Times New Roman"/>
          <w:sz w:val="24"/>
          <w:szCs w:val="24"/>
        </w:rPr>
        <w:t xml:space="preserve">Adjusted Present Value (APV) is characterized by a lack of discount rate that contains anything apart from time and premium risk value. It is advantageous because it permits people to recognize if any </w:t>
      </w:r>
      <w:r w:rsidR="0043417E" w:rsidRPr="00AB281C">
        <w:rPr>
          <w:rFonts w:ascii="Times New Roman" w:hAnsi="Times New Roman" w:cs="Times New Roman"/>
          <w:sz w:val="24"/>
          <w:szCs w:val="24"/>
        </w:rPr>
        <w:t>extra debt is leading to any value increase.</w:t>
      </w:r>
    </w:p>
    <w:p w:rsidR="00082F08" w:rsidRDefault="0043417E" w:rsidP="00AB281C">
      <w:pPr>
        <w:spacing w:line="480" w:lineRule="auto"/>
        <w:ind w:firstLine="720"/>
        <w:jc w:val="both"/>
        <w:rPr>
          <w:rFonts w:ascii="Times New Roman" w:hAnsi="Times New Roman" w:cs="Times New Roman"/>
          <w:sz w:val="24"/>
          <w:szCs w:val="24"/>
        </w:rPr>
      </w:pPr>
      <w:r w:rsidRPr="00AB281C">
        <w:rPr>
          <w:rFonts w:ascii="Times New Roman" w:hAnsi="Times New Roman" w:cs="Times New Roman"/>
          <w:sz w:val="24"/>
          <w:szCs w:val="24"/>
        </w:rPr>
        <w:t>Moreover, the full-time equivalent (FTE) is characterized by the employer's full-time workweek, which should be done by the employees. The advantage of FTE is that it shows the number of employees in an organizational project or requited in a project meaning there is no over or under the recruitment of employees.</w:t>
      </w:r>
      <w:r w:rsidR="00F57031" w:rsidRPr="00AB281C">
        <w:rPr>
          <w:rFonts w:ascii="Times New Roman" w:hAnsi="Times New Roman" w:cs="Times New Roman"/>
          <w:sz w:val="24"/>
          <w:szCs w:val="24"/>
        </w:rPr>
        <w:t xml:space="preserve"> According to chapter 19, the valuation results make </w:t>
      </w:r>
      <w:r w:rsidR="00F57031" w:rsidRPr="00AB281C">
        <w:rPr>
          <w:rFonts w:ascii="Times New Roman" w:hAnsi="Times New Roman" w:cs="Times New Roman"/>
          <w:sz w:val="24"/>
          <w:szCs w:val="24"/>
        </w:rPr>
        <w:lastRenderedPageBreak/>
        <w:t xml:space="preserve">sense. This is because the valuation results are attractive since the goods' selling price is predicted to be increasing with a percentage of 2 yearly. </w:t>
      </w:r>
    </w:p>
    <w:p w:rsidR="002F6532" w:rsidRDefault="002F6532" w:rsidP="00AB281C">
      <w:pPr>
        <w:spacing w:line="480" w:lineRule="auto"/>
        <w:ind w:firstLine="720"/>
        <w:jc w:val="both"/>
        <w:rPr>
          <w:rFonts w:ascii="Times New Roman" w:hAnsi="Times New Roman" w:cs="Times New Roman"/>
          <w:sz w:val="24"/>
          <w:szCs w:val="24"/>
        </w:rPr>
      </w:pPr>
    </w:p>
    <w:p w:rsidR="002F6532" w:rsidRDefault="002F6532" w:rsidP="00AB281C">
      <w:pPr>
        <w:spacing w:line="480" w:lineRule="auto"/>
        <w:ind w:firstLine="720"/>
        <w:jc w:val="both"/>
        <w:rPr>
          <w:rFonts w:ascii="Times New Roman" w:hAnsi="Times New Roman" w:cs="Times New Roman"/>
          <w:sz w:val="24"/>
          <w:szCs w:val="24"/>
        </w:rPr>
      </w:pPr>
    </w:p>
    <w:p w:rsidR="002F6532" w:rsidRDefault="002F6532" w:rsidP="00AB281C">
      <w:pPr>
        <w:spacing w:line="480" w:lineRule="auto"/>
        <w:ind w:firstLine="720"/>
        <w:jc w:val="both"/>
        <w:rPr>
          <w:rFonts w:ascii="Times New Roman" w:hAnsi="Times New Roman" w:cs="Times New Roman"/>
          <w:sz w:val="24"/>
          <w:szCs w:val="24"/>
        </w:rPr>
      </w:pPr>
    </w:p>
    <w:p w:rsidR="002F6532" w:rsidRDefault="002F6532" w:rsidP="00AB281C">
      <w:pPr>
        <w:spacing w:line="480" w:lineRule="auto"/>
        <w:ind w:firstLine="720"/>
        <w:jc w:val="both"/>
        <w:rPr>
          <w:rFonts w:ascii="Times New Roman" w:hAnsi="Times New Roman" w:cs="Times New Roman"/>
          <w:sz w:val="24"/>
          <w:szCs w:val="24"/>
        </w:rPr>
      </w:pPr>
    </w:p>
    <w:p w:rsidR="002F6532" w:rsidRDefault="002F6532" w:rsidP="00AB281C">
      <w:pPr>
        <w:spacing w:line="480" w:lineRule="auto"/>
        <w:ind w:firstLine="720"/>
        <w:jc w:val="both"/>
        <w:rPr>
          <w:rFonts w:ascii="Times New Roman" w:hAnsi="Times New Roman" w:cs="Times New Roman"/>
          <w:sz w:val="24"/>
          <w:szCs w:val="24"/>
        </w:rPr>
      </w:pPr>
    </w:p>
    <w:p w:rsidR="002F6532" w:rsidRDefault="002F6532" w:rsidP="00AB281C">
      <w:pPr>
        <w:spacing w:line="480" w:lineRule="auto"/>
        <w:ind w:firstLine="720"/>
        <w:jc w:val="both"/>
        <w:rPr>
          <w:rFonts w:ascii="Times New Roman" w:hAnsi="Times New Roman" w:cs="Times New Roman"/>
          <w:sz w:val="24"/>
          <w:szCs w:val="24"/>
        </w:rPr>
      </w:pPr>
    </w:p>
    <w:p w:rsidR="002F6532" w:rsidRDefault="002F6532" w:rsidP="00AB281C">
      <w:pPr>
        <w:spacing w:line="480" w:lineRule="auto"/>
        <w:ind w:firstLine="720"/>
        <w:jc w:val="both"/>
        <w:rPr>
          <w:rFonts w:ascii="Times New Roman" w:hAnsi="Times New Roman" w:cs="Times New Roman"/>
          <w:sz w:val="24"/>
          <w:szCs w:val="24"/>
        </w:rPr>
      </w:pPr>
    </w:p>
    <w:p w:rsidR="002F6532" w:rsidRDefault="002F6532" w:rsidP="00AB281C">
      <w:pPr>
        <w:spacing w:line="480" w:lineRule="auto"/>
        <w:ind w:firstLine="720"/>
        <w:jc w:val="both"/>
        <w:rPr>
          <w:rFonts w:ascii="Times New Roman" w:hAnsi="Times New Roman" w:cs="Times New Roman"/>
          <w:sz w:val="24"/>
          <w:szCs w:val="24"/>
        </w:rPr>
      </w:pPr>
    </w:p>
    <w:p w:rsidR="002F6532" w:rsidRDefault="002F6532" w:rsidP="00AB281C">
      <w:pPr>
        <w:spacing w:line="480" w:lineRule="auto"/>
        <w:ind w:firstLine="720"/>
        <w:jc w:val="both"/>
        <w:rPr>
          <w:rFonts w:ascii="Times New Roman" w:hAnsi="Times New Roman" w:cs="Times New Roman"/>
          <w:sz w:val="24"/>
          <w:szCs w:val="24"/>
        </w:rPr>
      </w:pPr>
    </w:p>
    <w:p w:rsidR="002F6532" w:rsidRDefault="002F6532" w:rsidP="00AB281C">
      <w:pPr>
        <w:spacing w:line="480" w:lineRule="auto"/>
        <w:ind w:firstLine="720"/>
        <w:jc w:val="both"/>
        <w:rPr>
          <w:rFonts w:ascii="Times New Roman" w:hAnsi="Times New Roman" w:cs="Times New Roman"/>
          <w:sz w:val="24"/>
          <w:szCs w:val="24"/>
        </w:rPr>
      </w:pPr>
    </w:p>
    <w:p w:rsidR="002F6532" w:rsidRDefault="002F6532" w:rsidP="00AB281C">
      <w:pPr>
        <w:spacing w:line="480" w:lineRule="auto"/>
        <w:ind w:firstLine="720"/>
        <w:jc w:val="both"/>
        <w:rPr>
          <w:rFonts w:ascii="Times New Roman" w:hAnsi="Times New Roman" w:cs="Times New Roman"/>
          <w:sz w:val="24"/>
          <w:szCs w:val="24"/>
        </w:rPr>
      </w:pPr>
    </w:p>
    <w:p w:rsidR="002F6532" w:rsidRDefault="002F6532" w:rsidP="00AB281C">
      <w:pPr>
        <w:spacing w:line="480" w:lineRule="auto"/>
        <w:ind w:firstLine="720"/>
        <w:jc w:val="both"/>
        <w:rPr>
          <w:rFonts w:ascii="Times New Roman" w:hAnsi="Times New Roman" w:cs="Times New Roman"/>
          <w:sz w:val="24"/>
          <w:szCs w:val="24"/>
        </w:rPr>
      </w:pPr>
    </w:p>
    <w:p w:rsidR="002F6532" w:rsidRDefault="002F6532" w:rsidP="00AB281C">
      <w:pPr>
        <w:spacing w:line="480" w:lineRule="auto"/>
        <w:ind w:firstLine="720"/>
        <w:jc w:val="both"/>
        <w:rPr>
          <w:rFonts w:ascii="Times New Roman" w:hAnsi="Times New Roman" w:cs="Times New Roman"/>
          <w:sz w:val="24"/>
          <w:szCs w:val="24"/>
        </w:rPr>
      </w:pPr>
    </w:p>
    <w:p w:rsidR="002F6532" w:rsidRDefault="002F6532" w:rsidP="00AB281C">
      <w:pPr>
        <w:spacing w:line="480" w:lineRule="auto"/>
        <w:ind w:firstLine="720"/>
        <w:jc w:val="both"/>
        <w:rPr>
          <w:rFonts w:ascii="Times New Roman" w:hAnsi="Times New Roman" w:cs="Times New Roman"/>
          <w:sz w:val="24"/>
          <w:szCs w:val="24"/>
        </w:rPr>
      </w:pPr>
    </w:p>
    <w:p w:rsidR="002F6532" w:rsidRDefault="002F6532" w:rsidP="00AB281C">
      <w:pPr>
        <w:spacing w:line="480" w:lineRule="auto"/>
        <w:ind w:firstLine="720"/>
        <w:jc w:val="both"/>
        <w:rPr>
          <w:rFonts w:ascii="Times New Roman" w:hAnsi="Times New Roman" w:cs="Times New Roman"/>
          <w:sz w:val="24"/>
          <w:szCs w:val="24"/>
        </w:rPr>
      </w:pPr>
    </w:p>
    <w:p w:rsidR="002F6532" w:rsidRPr="00AB281C" w:rsidRDefault="002F6532" w:rsidP="00AB281C">
      <w:pPr>
        <w:spacing w:line="480" w:lineRule="auto"/>
        <w:ind w:firstLine="720"/>
        <w:jc w:val="both"/>
        <w:rPr>
          <w:rFonts w:ascii="Times New Roman" w:hAnsi="Times New Roman" w:cs="Times New Roman"/>
          <w:sz w:val="24"/>
          <w:szCs w:val="24"/>
        </w:rPr>
      </w:pPr>
      <w:bookmarkStart w:id="0" w:name="_GoBack"/>
      <w:bookmarkEnd w:id="0"/>
    </w:p>
    <w:p w:rsidR="0043417E" w:rsidRPr="00AB281C" w:rsidRDefault="00A07A68" w:rsidP="00AB281C">
      <w:pPr>
        <w:spacing w:line="480" w:lineRule="auto"/>
        <w:ind w:firstLine="720"/>
        <w:jc w:val="center"/>
        <w:rPr>
          <w:rFonts w:ascii="Times New Roman" w:hAnsi="Times New Roman" w:cs="Times New Roman"/>
          <w:sz w:val="24"/>
          <w:szCs w:val="24"/>
        </w:rPr>
      </w:pPr>
      <w:r w:rsidRPr="00AB281C">
        <w:rPr>
          <w:rFonts w:ascii="Times New Roman" w:hAnsi="Times New Roman" w:cs="Times New Roman"/>
          <w:sz w:val="24"/>
          <w:szCs w:val="24"/>
        </w:rPr>
        <w:lastRenderedPageBreak/>
        <w:t>Reference</w:t>
      </w:r>
    </w:p>
    <w:p w:rsidR="00AB281C" w:rsidRPr="00AB281C" w:rsidRDefault="00A07A68" w:rsidP="00AB281C">
      <w:pPr>
        <w:spacing w:line="480" w:lineRule="auto"/>
        <w:ind w:left="720" w:hanging="720"/>
        <w:jc w:val="both"/>
        <w:rPr>
          <w:rFonts w:ascii="Times New Roman" w:hAnsi="Times New Roman" w:cs="Times New Roman"/>
          <w:sz w:val="24"/>
          <w:szCs w:val="24"/>
          <w:shd w:val="clear" w:color="auto" w:fill="FFFFFF"/>
        </w:rPr>
      </w:pPr>
      <w:r w:rsidRPr="00AB281C">
        <w:rPr>
          <w:rFonts w:ascii="Times New Roman" w:hAnsi="Times New Roman" w:cs="Times New Roman"/>
          <w:sz w:val="24"/>
          <w:szCs w:val="24"/>
          <w:shd w:val="clear" w:color="auto" w:fill="FFFFFF"/>
        </w:rPr>
        <w:t>Dempsey, M. (2013). The capital asset pricing model (CAPM): the history of a failed revolutionary idea in finance? </w:t>
      </w:r>
      <w:r w:rsidRPr="00AB281C">
        <w:rPr>
          <w:rFonts w:ascii="Times New Roman" w:hAnsi="Times New Roman" w:cs="Times New Roman"/>
          <w:i/>
          <w:iCs/>
          <w:sz w:val="24"/>
          <w:szCs w:val="24"/>
          <w:shd w:val="clear" w:color="auto" w:fill="FFFFFF"/>
        </w:rPr>
        <w:t>Abacus</w:t>
      </w:r>
      <w:r w:rsidRPr="00AB281C">
        <w:rPr>
          <w:rFonts w:ascii="Times New Roman" w:hAnsi="Times New Roman" w:cs="Times New Roman"/>
          <w:sz w:val="24"/>
          <w:szCs w:val="24"/>
          <w:shd w:val="clear" w:color="auto" w:fill="FFFFFF"/>
        </w:rPr>
        <w:t>, </w:t>
      </w:r>
      <w:r w:rsidRPr="00AB281C">
        <w:rPr>
          <w:rFonts w:ascii="Times New Roman" w:hAnsi="Times New Roman" w:cs="Times New Roman"/>
          <w:i/>
          <w:iCs/>
          <w:sz w:val="24"/>
          <w:szCs w:val="24"/>
          <w:shd w:val="clear" w:color="auto" w:fill="FFFFFF"/>
        </w:rPr>
        <w:t>49</w:t>
      </w:r>
      <w:r w:rsidRPr="00AB281C">
        <w:rPr>
          <w:rFonts w:ascii="Times New Roman" w:hAnsi="Times New Roman" w:cs="Times New Roman"/>
          <w:sz w:val="24"/>
          <w:szCs w:val="24"/>
          <w:shd w:val="clear" w:color="auto" w:fill="FFFFFF"/>
        </w:rPr>
        <w:t>, 7-23.</w:t>
      </w:r>
    </w:p>
    <w:p w:rsidR="00AB281C" w:rsidRPr="00AB281C" w:rsidRDefault="00A07A68" w:rsidP="00AB281C">
      <w:pPr>
        <w:spacing w:line="480" w:lineRule="auto"/>
        <w:ind w:left="720" w:hanging="720"/>
        <w:jc w:val="both"/>
        <w:rPr>
          <w:rFonts w:ascii="Times New Roman" w:hAnsi="Times New Roman" w:cs="Times New Roman"/>
          <w:sz w:val="24"/>
          <w:szCs w:val="24"/>
          <w:shd w:val="clear" w:color="auto" w:fill="FFFFFF"/>
        </w:rPr>
      </w:pPr>
      <w:r w:rsidRPr="00AB281C">
        <w:rPr>
          <w:rFonts w:ascii="Times New Roman" w:hAnsi="Times New Roman" w:cs="Times New Roman"/>
          <w:sz w:val="24"/>
          <w:szCs w:val="24"/>
          <w:shd w:val="clear" w:color="auto" w:fill="FFFFFF"/>
        </w:rPr>
        <w:t>Fernandez, P. (2015). CAPM: an absurd model. </w:t>
      </w:r>
      <w:r w:rsidRPr="00AB281C">
        <w:rPr>
          <w:rFonts w:ascii="Times New Roman" w:hAnsi="Times New Roman" w:cs="Times New Roman"/>
          <w:i/>
          <w:iCs/>
          <w:sz w:val="24"/>
          <w:szCs w:val="24"/>
          <w:shd w:val="clear" w:color="auto" w:fill="FFFFFF"/>
        </w:rPr>
        <w:t>Business Valuation</w:t>
      </w:r>
      <w:r w:rsidRPr="00AB281C">
        <w:rPr>
          <w:rFonts w:ascii="Times New Roman" w:hAnsi="Times New Roman" w:cs="Times New Roman"/>
          <w:i/>
          <w:iCs/>
          <w:sz w:val="24"/>
          <w:szCs w:val="24"/>
          <w:shd w:val="clear" w:color="auto" w:fill="FFFFFF"/>
        </w:rPr>
        <w:t xml:space="preserve"> Review</w:t>
      </w:r>
      <w:r w:rsidRPr="00AB281C">
        <w:rPr>
          <w:rFonts w:ascii="Times New Roman" w:hAnsi="Times New Roman" w:cs="Times New Roman"/>
          <w:sz w:val="24"/>
          <w:szCs w:val="24"/>
          <w:shd w:val="clear" w:color="auto" w:fill="FFFFFF"/>
        </w:rPr>
        <w:t>, </w:t>
      </w:r>
      <w:r w:rsidRPr="00AB281C">
        <w:rPr>
          <w:rFonts w:ascii="Times New Roman" w:hAnsi="Times New Roman" w:cs="Times New Roman"/>
          <w:i/>
          <w:iCs/>
          <w:sz w:val="24"/>
          <w:szCs w:val="24"/>
          <w:shd w:val="clear" w:color="auto" w:fill="FFFFFF"/>
        </w:rPr>
        <w:t>34</w:t>
      </w:r>
      <w:r w:rsidRPr="00AB281C">
        <w:rPr>
          <w:rFonts w:ascii="Times New Roman" w:hAnsi="Times New Roman" w:cs="Times New Roman"/>
          <w:sz w:val="24"/>
          <w:szCs w:val="24"/>
          <w:shd w:val="clear" w:color="auto" w:fill="FFFFFF"/>
        </w:rPr>
        <w:t>(1), 4-23.</w:t>
      </w:r>
    </w:p>
    <w:p w:rsidR="00AB281C" w:rsidRPr="00AB281C" w:rsidRDefault="00A07A68" w:rsidP="00AB281C">
      <w:pPr>
        <w:spacing w:line="480" w:lineRule="auto"/>
        <w:ind w:left="720" w:hanging="720"/>
        <w:jc w:val="both"/>
        <w:rPr>
          <w:rFonts w:ascii="Times New Roman" w:hAnsi="Times New Roman" w:cs="Times New Roman"/>
          <w:sz w:val="24"/>
          <w:szCs w:val="24"/>
        </w:rPr>
      </w:pPr>
      <w:r w:rsidRPr="00AB281C">
        <w:rPr>
          <w:rFonts w:ascii="Times New Roman" w:hAnsi="Times New Roman" w:cs="Times New Roman"/>
          <w:sz w:val="24"/>
          <w:szCs w:val="24"/>
          <w:shd w:val="clear" w:color="auto" w:fill="FFFFFF"/>
        </w:rPr>
        <w:t xml:space="preserve">Krüger, P., Landier, A., &amp; Thesmar, D. (2015). The WACC Fallacy: The real effects of using a unique discount rate. </w:t>
      </w:r>
      <w:r w:rsidRPr="00AB281C">
        <w:rPr>
          <w:rFonts w:ascii="Times New Roman" w:hAnsi="Times New Roman" w:cs="Times New Roman"/>
          <w:i/>
          <w:iCs/>
          <w:sz w:val="24"/>
          <w:szCs w:val="24"/>
          <w:shd w:val="clear" w:color="auto" w:fill="FFFFFF"/>
        </w:rPr>
        <w:t>The Journal of Finance</w:t>
      </w:r>
      <w:r w:rsidRPr="00AB281C">
        <w:rPr>
          <w:rFonts w:ascii="Times New Roman" w:hAnsi="Times New Roman" w:cs="Times New Roman"/>
          <w:sz w:val="24"/>
          <w:szCs w:val="24"/>
          <w:shd w:val="clear" w:color="auto" w:fill="FFFFFF"/>
        </w:rPr>
        <w:t>, </w:t>
      </w:r>
      <w:r w:rsidRPr="00AB281C">
        <w:rPr>
          <w:rFonts w:ascii="Times New Roman" w:hAnsi="Times New Roman" w:cs="Times New Roman"/>
          <w:i/>
          <w:iCs/>
          <w:sz w:val="24"/>
          <w:szCs w:val="24"/>
          <w:shd w:val="clear" w:color="auto" w:fill="FFFFFF"/>
        </w:rPr>
        <w:t>70</w:t>
      </w:r>
      <w:r w:rsidRPr="00AB281C">
        <w:rPr>
          <w:rFonts w:ascii="Times New Roman" w:hAnsi="Times New Roman" w:cs="Times New Roman"/>
          <w:sz w:val="24"/>
          <w:szCs w:val="24"/>
          <w:shd w:val="clear" w:color="auto" w:fill="FFFFFF"/>
        </w:rPr>
        <w:t>(3), 1253-1285.</w:t>
      </w:r>
    </w:p>
    <w:sectPr w:rsidR="00AB281C" w:rsidRPr="00AB281C" w:rsidSect="00AB281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7A68" w:rsidRDefault="00A07A68">
      <w:pPr>
        <w:spacing w:after="0" w:line="240" w:lineRule="auto"/>
      </w:pPr>
      <w:r>
        <w:separator/>
      </w:r>
    </w:p>
  </w:endnote>
  <w:endnote w:type="continuationSeparator" w:id="0">
    <w:p w:rsidR="00A07A68" w:rsidRDefault="00A07A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7A68" w:rsidRDefault="00A07A68">
      <w:pPr>
        <w:spacing w:after="0" w:line="240" w:lineRule="auto"/>
      </w:pPr>
      <w:r>
        <w:separator/>
      </w:r>
    </w:p>
  </w:footnote>
  <w:footnote w:type="continuationSeparator" w:id="0">
    <w:p w:rsidR="00A07A68" w:rsidRDefault="00A07A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3313640"/>
      <w:docPartObj>
        <w:docPartGallery w:val="Page Numbers (Top of Page)"/>
        <w:docPartUnique/>
      </w:docPartObj>
    </w:sdtPr>
    <w:sdtEndPr>
      <w:rPr>
        <w:noProof/>
      </w:rPr>
    </w:sdtEndPr>
    <w:sdtContent>
      <w:p w:rsidR="00AB281C" w:rsidRDefault="00A07A68">
        <w:pPr>
          <w:pStyle w:val="Header"/>
          <w:jc w:val="right"/>
        </w:pPr>
        <w:r>
          <w:t>THE PRI</w:t>
        </w:r>
        <w:r>
          <w:t>CING OF RISK</w:t>
        </w:r>
        <w:r>
          <w:tab/>
        </w:r>
        <w:r>
          <w:tab/>
        </w:r>
        <w:r>
          <w:tab/>
        </w:r>
        <w:r>
          <w:fldChar w:fldCharType="begin"/>
        </w:r>
        <w:r>
          <w:instrText xml:space="preserve"> PAGE   \* MERGEFORMAT </w:instrText>
        </w:r>
        <w:r>
          <w:fldChar w:fldCharType="separate"/>
        </w:r>
        <w:r w:rsidR="002F6532">
          <w:rPr>
            <w:noProof/>
          </w:rPr>
          <w:t>4</w:t>
        </w:r>
        <w:r>
          <w:rPr>
            <w:noProof/>
          </w:rPr>
          <w:fldChar w:fldCharType="end"/>
        </w:r>
      </w:p>
    </w:sdtContent>
  </w:sdt>
  <w:p w:rsidR="00AB281C" w:rsidRDefault="00AB28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281C" w:rsidRPr="00AB281C" w:rsidRDefault="00A07A68">
    <w:pPr>
      <w:pStyle w:val="Header"/>
      <w:rPr>
        <w:rFonts w:ascii="Times New Roman" w:hAnsi="Times New Roman" w:cs="Times New Roman"/>
        <w:sz w:val="24"/>
        <w:szCs w:val="24"/>
      </w:rPr>
    </w:pPr>
    <w:r w:rsidRPr="00AB281C">
      <w:rPr>
        <w:rFonts w:ascii="Times New Roman" w:hAnsi="Times New Roman" w:cs="Times New Roman"/>
        <w:sz w:val="24"/>
        <w:szCs w:val="24"/>
      </w:rPr>
      <w:t>Running Head: THE PRICISINFG OF RISK</w:t>
    </w:r>
    <w:r w:rsidRPr="00AB281C">
      <w:rPr>
        <w:rFonts w:ascii="Times New Roman" w:hAnsi="Times New Roman" w:cs="Times New Roman"/>
        <w:sz w:val="24"/>
        <w:szCs w:val="24"/>
      </w:rPr>
      <w:tab/>
    </w:r>
    <w:r w:rsidRPr="00AB281C">
      <w:rPr>
        <w:rFonts w:ascii="Times New Roman" w:hAnsi="Times New Roman" w:cs="Times New Roman"/>
        <w:sz w:val="24"/>
        <w:szCs w:val="24"/>
      </w:rPr>
      <w:tab/>
    </w:r>
    <w:r w:rsidRPr="00AB281C">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708"/>
    <w:rsid w:val="00082F08"/>
    <w:rsid w:val="000B0675"/>
    <w:rsid w:val="002F6532"/>
    <w:rsid w:val="0043417E"/>
    <w:rsid w:val="005F1708"/>
    <w:rsid w:val="006F1092"/>
    <w:rsid w:val="00915C95"/>
    <w:rsid w:val="009B4353"/>
    <w:rsid w:val="00A07A68"/>
    <w:rsid w:val="00AB281C"/>
    <w:rsid w:val="00BE6D09"/>
    <w:rsid w:val="00C51346"/>
    <w:rsid w:val="00C95D54"/>
    <w:rsid w:val="00DB547D"/>
    <w:rsid w:val="00E94F96"/>
    <w:rsid w:val="00F52024"/>
    <w:rsid w:val="00F570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28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81C"/>
  </w:style>
  <w:style w:type="paragraph" w:styleId="Footer">
    <w:name w:val="footer"/>
    <w:basedOn w:val="Normal"/>
    <w:link w:val="FooterChar"/>
    <w:uiPriority w:val="99"/>
    <w:unhideWhenUsed/>
    <w:rsid w:val="00AB28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8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28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81C"/>
  </w:style>
  <w:style w:type="paragraph" w:styleId="Footer">
    <w:name w:val="footer"/>
    <w:basedOn w:val="Normal"/>
    <w:link w:val="FooterChar"/>
    <w:uiPriority w:val="99"/>
    <w:unhideWhenUsed/>
    <w:rsid w:val="00AB28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8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FF7B82-B7C0-43D6-935A-FC346A906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369</Words>
  <Characters>2106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2020-10-10T01:02:00Z</dcterms:created>
  <dcterms:modified xsi:type="dcterms:W3CDTF">2020-10-10T01:02:00Z</dcterms:modified>
</cp:coreProperties>
</file>